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080"/>
        <w:jc w:val="left"/>
        <w:tblLayout w:type="fixed"/>
        <w:tblLook w:firstColumn="1" w:firstRow="1" w:lastColumn="0" w:lastRow="0" w:noHBand="0" w:noVBand="1" w:val="04A0"/>
        <w:tblInd w:w="120" w:type="dxa"/>
      </w:tblPr>
      <w:tblGrid>
        <w:gridCol w:w="6983"/>
        <w:gridCol w:w="3096"/>
      </w:tblGrid>
      <w:tr>
        <w:tc>
          <w:tcPr>
            <w:tcW w:type="dxa" w:w="6983"/>
            <w:shd w:fill="1B1D20"/>
            <w:tcMar>
              <w:top w:w="180" w:type="dxa"/>
              <w:start w:w="180" w:type="dxa"/>
              <w:bottom w:w="180" w:type="dxa"/>
              <w:end w:w="180" w:type="dxa"/>
            </w:tcMar>
            <w:vAlign w:val="center"/>
          </w:tcPr>
          <w:p>
            <w:pPr>
              <w:spacing w:after="40"/>
            </w:pPr>
            <w:r>
              <w:rPr>
                <w:rFonts w:ascii="Aptos" w:hAnsi="Aptos"/>
                <w:b/>
                <w:i w:val="0"/>
                <w:color w:val="FFFFFF"/>
                <w:sz w:val="46"/>
              </w:rPr>
              <w:t>HIPAA BUSINESS ASSOCIATE AGREEMENT</w:t>
            </w:r>
          </w:p>
          <w:p>
            <w:pPr>
              <w:spacing w:after="0"/>
            </w:pPr>
            <w:r>
              <w:rPr>
                <w:rFonts w:ascii="Aptos" w:hAnsi="Aptos"/>
                <w:b w:val="0"/>
                <w:i w:val="0"/>
                <w:color w:val="D8D8D8"/>
                <w:sz w:val="19"/>
              </w:rPr>
              <w:t>Professional, editable business template</w:t>
            </w:r>
          </w:p>
        </w:tc>
        <w:tc>
          <w:tcPr>
            <w:tcW w:type="dxa" w:w="3096"/>
            <w:shd w:fill="F4F3EF"/>
            <w:tcMar>
              <w:top w:w="180" w:type="dxa"/>
              <w:start w:w="180" w:type="dxa"/>
              <w:bottom w:w="180" w:type="dxa"/>
              <w:end w:w="180" w:type="dxa"/>
            </w:tcMar>
            <w:vAlign w:val="center"/>
          </w:tcPr>
          <w:p>
            <w:pPr>
              <w:jc w:val="center"/>
            </w:pPr>
            <w:r>
              <w:rPr>
                <w:rFonts w:ascii="Aptos" w:hAnsi="Aptos"/>
                <w:b/>
                <w:i w:val="0"/>
                <w:color w:val="C9872B"/>
                <w:sz w:val="26"/>
              </w:rPr>
              <w:t>YOUR LOGO</w:t>
              <w:br/>
              <w:t>HERE</w:t>
            </w:r>
          </w:p>
          <w:p>
            <w:pPr>
              <w:spacing w:after="0"/>
              <w:jc w:val="center"/>
            </w:pPr>
            <w:r>
              <w:rPr>
                <w:rFonts w:ascii="Aptos" w:hAnsi="Aptos"/>
                <w:b w:val="0"/>
                <w:i/>
                <w:color w:val="666A70"/>
                <w:sz w:val="16"/>
              </w:rPr>
              <w:t>Replace this box</w:t>
            </w:r>
          </w:p>
        </w:tc>
      </w:tr>
    </w:tbl>
    <w:p>
      <w:pPr>
        <w:spacing w:after="0"/>
      </w:pPr>
    </w:p>
    <w:tbl>
      <w:tblPr>
        <w:tblW w:type="dxa" w:w="10080"/>
        <w:jc w:val="left"/>
        <w:tblLayout w:type="fixed"/>
        <w:tblLook w:firstColumn="1" w:firstRow="1" w:lastColumn="0" w:lastRow="0" w:noHBand="0" w:noVBand="1" w:val="04A0"/>
        <w:tblInd w:w="120" w:type="dxa"/>
      </w:tblPr>
      <w:tblGrid>
        <w:gridCol w:w="10080"/>
      </w:tblGrid>
      <w:tr>
        <w:tc>
          <w:tcPr>
            <w:tcW w:type="dxa" w:w="10080"/>
            <w:shd w:fill="F4F3EF"/>
            <w:tcMar>
              <w:top w:w="120" w:type="dxa"/>
              <w:start w:w="150" w:type="dxa"/>
              <w:bottom w:w="120" w:type="dxa"/>
              <w:end w:w="150" w:type="dxa"/>
            </w:tcMar>
          </w:tcPr>
          <w:p>
            <w:pPr>
              <w:spacing w:after="0"/>
            </w:pPr>
            <w:r>
              <w:rPr>
                <w:rFonts w:ascii="Aptos" w:hAnsi="Aptos"/>
                <w:b w:val="0"/>
                <w:i/>
                <w:color w:val="666A70"/>
                <w:sz w:val="19"/>
              </w:rPr>
              <w:t>IMPORTANT: This is a general educational starting-point template, not legal advice. Laws, roles, licensing duties, and required terms vary. Have a licensed attorney review and adapt this agreement before anyone signs it or relies on it. This template addresses common federal HIPAA contract provisions but does not itself establish HIPAA compliance or determine whether the parties have the stated roles.</w:t>
            </w:r>
          </w:p>
        </w:tc>
      </w:tr>
    </w:tbl>
    <w:p>
      <w:pPr>
        <w:pStyle w:val="Heading1"/>
      </w:pPr>
      <w:r>
        <w:t>Agreement Details</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Effective 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Covered Entity</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Business Associate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Underlying Services Agreement</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Services Involving PHI</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1. Definitions</w:t>
      </w:r>
    </w:p>
    <w:p>
      <w:r>
        <w:t>Capitalized terms including Breach, Designated Record Set, Electronic Protected Health Information, Individual, Minimum Necessary, Protected Health Information (PHI), Required by Law, Secretary, Security Incident, Subcontractor, Unsecured PHI, Use, and Disclosure have the meanings in the HIPAA Rules. HIPAA Rules means 45 C.F.R. Parts 160 and 164, as amended.</w:t>
      </w:r>
    </w:p>
    <w:p>
      <w:pPr>
        <w:pStyle w:val="Heading2"/>
      </w:pPr>
      <w:r>
        <w:t>2. Permitted Uses and Disclosures</w:t>
      </w:r>
    </w:p>
    <w:p>
      <w:r>
        <w:t>Business Associate may use or disclose PHI only as necessary to perform the services identified above, as otherwise expressly permitted by this Agreement, or as Required by Law. Uses, disclosures, and requests will comply with applicable minimum-necessary requirements and may not violate the Privacy Rule if performed by Covered Entity.</w:t>
      </w:r>
    </w:p>
    <w:p>
      <w:r>
        <w:br w:type="page"/>
      </w:r>
    </w:p>
    <w:p>
      <w:pPr>
        <w:pStyle w:val="Heading2"/>
      </w:pPr>
      <w:r>
        <w:t>3. Business Associate Safeguards</w:t>
      </w:r>
    </w:p>
    <w:p>
      <w:r>
        <w:t>Business Associate will use appropriate safeguards to prevent impermissible use or disclosure of PHI and will comply with the Security Rule, including Subpart C of 45 C.F.R. Part 164, for electronic PHI.</w:t>
      </w:r>
    </w:p>
    <w:p>
      <w:pPr>
        <w:pStyle w:val="Heading2"/>
      </w:pPr>
      <w:r>
        <w:t>4. Reporting</w:t>
      </w:r>
    </w:p>
    <w:p>
      <w:r>
        <w:t>Business Associate will report to Covered Entity any impermissible use or disclosure, Breach of Unsecured PHI as required by 45 C.F.R. 164.410, and Security Incident of which it becomes aware. The parties will complete the reporting schedule below; no schedule may extend a deadline imposed by law.</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Initial Incident Notice</w:t>
            </w:r>
          </w:p>
        </w:tc>
        <w:tc>
          <w:tcPr>
            <w:tcW w:type="dxa" w:w="7632"/>
            <w:tcMar>
              <w:top w:w="110" w:type="dxa"/>
              <w:start w:w="130" w:type="dxa"/>
              <w:bottom w:w="110" w:type="dxa"/>
              <w:end w:w="130" w:type="dxa"/>
            </w:tcMar>
            <w:vAlign w:val="center"/>
          </w:tcPr>
          <w:p>
            <w:pPr>
              <w:spacing w:after="0"/>
            </w:pPr>
            <w:r>
              <w:rPr>
                <w:rFonts w:ascii="Aptos" w:hAnsi="Aptos"/>
                <w:b w:val="0"/>
                <w:i w:val="0"/>
                <w:color w:val="666A70"/>
                <w:sz w:val="19"/>
              </w:rPr>
              <w:t>Without unreasonable delay; target: ____ hours/days</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Detailed Follow-Up</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Security Incident Reporting Method</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Information Included in a Breach Report</w:t>
      </w:r>
    </w:p>
    <w:tbl>
      <w:tblPr>
        <w:tblW w:type="dxa" w:w="10080"/>
        <w:jc w:val="left"/>
        <w:tblLayout w:type="fixed"/>
        <w:tblLook w:firstColumn="1" w:firstRow="1" w:lastColumn="0" w:lastRow="0" w:noHBand="0" w:noVBand="1" w:val="04A0"/>
        <w:tblInd w:w="120" w:type="dxa"/>
      </w:tblPr>
      <w:tblGrid>
        <w:gridCol w:w="10080"/>
      </w:tblGrid>
      <w:tr>
        <w:tc>
          <w:tcPr>
            <w:tcW w:type="dxa" w:w="10080"/>
            <w:tcMar>
              <w:top w:w="130" w:type="dxa"/>
              <w:start w:w="150" w:type="dxa"/>
              <w:bottom w:w="130" w:type="dxa"/>
              <w:end w:w="150" w:type="dxa"/>
            </w:tcMar>
          </w:tcPr>
          <w:p>
            <w:pPr>
              <w:spacing w:after="0"/>
            </w:pPr>
            <w:r>
              <w:rPr>
                <w:rFonts w:ascii="Aptos" w:hAnsi="Aptos"/>
                <w:b w:val="0"/>
                <w:i/>
                <w:color w:val="666A70"/>
                <w:sz w:val="19"/>
              </w:rPr>
              <w:t>Identity of affected individuals if known; nature and date of event; PHI involved; investigation and mitigation; contact; other information needed for required notices.</w:t>
            </w:r>
          </w:p>
          <w:p>
            <w:pPr>
              <w:spacing w:after="80"/>
            </w:pPr>
            <w:r>
              <w:t xml:space="preserve"> </w:t>
            </w:r>
          </w:p>
          <w:p>
            <w:pPr>
              <w:spacing w:after="80"/>
            </w:pPr>
            <w:r>
              <w:t xml:space="preserve"> </w:t>
            </w:r>
          </w:p>
          <w:p>
            <w:pPr>
              <w:spacing w:after="80"/>
            </w:pPr>
            <w:r>
              <w:t xml:space="preserve"> </w:t>
            </w:r>
          </w:p>
        </w:tc>
      </w:tr>
    </w:tbl>
    <w:p>
      <w:pPr>
        <w:pStyle w:val="Heading2"/>
      </w:pPr>
      <w:r>
        <w:t>5. Subcontractors</w:t>
      </w:r>
    </w:p>
    <w:p>
      <w:r>
        <w:t>Business Associate will ensure that each Subcontractor that creates, receives, maintains, or transmits PHI on its behalf agrees in writing to the same restrictions, conditions, and requirements that apply to Business Associate.</w:t>
      </w:r>
    </w:p>
    <w:p>
      <w:r>
        <w:br w:type="page"/>
      </w:r>
    </w:p>
    <w:p>
      <w:pPr>
        <w:pStyle w:val="Heading2"/>
      </w:pPr>
      <w:r>
        <w:t>6. Individual Rights and Records</w:t>
      </w:r>
    </w:p>
    <w:p>
      <w:r>
        <w:t>As directed by Covered Entity and within the agreed operational timeframes, Business Associate will make PHI in a Designated Record Set available for access, make PHI available for amendment and incorporate required amendments, and maintain and provide information needed for an accounting of disclosures under 45 C.F.R. 164.524, 164.526, and 164.528.</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Access Response Time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Amendment Response Time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Accounting Response Time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7. Covered Entity Functions</w:t>
      </w:r>
    </w:p>
    <w:p>
      <w:r>
        <w:t>To the extent Business Associate performs a Privacy Rule obligation of Covered Entity, Business Associate will comply with the requirements applicable to Covered Entity in performing that obligation.</w:t>
      </w:r>
    </w:p>
    <w:p>
      <w:pPr>
        <w:pStyle w:val="Heading2"/>
      </w:pPr>
      <w:r>
        <w:t>8. HHS Access</w:t>
      </w:r>
    </w:p>
    <w:p>
      <w:r>
        <w:t>Business Associate will make internal practices, books, and records relating to PHI available to the Secretary for determining compliance with the HIPAA Rules.</w:t>
      </w:r>
    </w:p>
    <w:p>
      <w:pPr>
        <w:pStyle w:val="Heading2"/>
      </w:pPr>
      <w:r>
        <w:t>9. Covered Entity Duties</w:t>
      </w:r>
    </w:p>
    <w:p>
      <w:r>
        <w:t>Covered Entity will notify Business Associate of relevant notice-of-privacy-practices limitations, changes in permission by an Individual, and restrictions that may affect Business Associate's use or disclosure. Covered Entity will not request an impermissible use or disclosure.</w:t>
      </w:r>
    </w:p>
    <w:p>
      <w:r>
        <w:br w:type="page"/>
      </w:r>
    </w:p>
    <w:p>
      <w:pPr>
        <w:pStyle w:val="Heading2"/>
      </w:pPr>
      <w:r>
        <w:t>10. Term and Termination</w:t>
      </w:r>
    </w:p>
    <w:p>
      <w:r>
        <w:t>This Agreement begins on the Effective Date and ends when the underlying services end and all PHI is returned or destroyed, unless terminated sooner. Covered Entity may terminate for a material breach, subject to any legally permissible cure process stated below.</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Cure Period, if any</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Termination Notice Method</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11. Return or Destruction</w:t>
      </w:r>
    </w:p>
    <w:p>
      <w:r>
        <w:t>Upon termination, Business Associate will return or destroy all PHI it maintains and retain no copies where feasible. If return or destruction is infeasible or retention is legally required, Business Associate will document the basis, retain only necessary PHI, continue safeguards, limit further use and disclosure to the reason for retention, and return or destroy the PHI when no longer needed.</w:t>
      </w:r>
    </w:p>
    <w:p>
      <w:pPr>
        <w:pStyle w:val="Heading2"/>
      </w:pPr>
      <w:r>
        <w:t>12. Survival, Amendment, and Interpretation</w:t>
      </w:r>
    </w:p>
    <w:p>
      <w:r>
        <w:t>Obligations protecting retained PHI survive termination. References to HIPAA provisions mean those provisions as amended. The parties will amend this Agreement as needed for compliance. Any ambiguity will be interpreted to permit compliance with the HIPAA Rules.</w:t>
      </w:r>
    </w:p>
    <w:p>
      <w:pPr>
        <w:pStyle w:val="Heading2"/>
      </w:pPr>
      <w:r>
        <w:t>13. General Contract Terms</w:t>
      </w:r>
    </w:p>
    <w:p>
      <w:r>
        <w:t>The underlying agreement's general terms apply unless inconsistent with this Agreement; this Agreement controls for PHI. No third-party beneficiary is created. Electronic signatures and counterparts are permitted to the extent allowed by law.</w:t>
      </w:r>
    </w:p>
    <w:p>
      <w:pPr>
        <w:pStyle w:val="Heading2"/>
      </w:pPr>
      <w:r>
        <w:t>Schedule A - PHI, Systems, Services, and Special Instructions</w:t>
      </w:r>
    </w:p>
    <w:tbl>
      <w:tblPr>
        <w:tblW w:type="dxa" w:w="10080"/>
        <w:jc w:val="left"/>
        <w:tblLayout w:type="fixed"/>
        <w:tblLook w:firstColumn="1" w:firstRow="1" w:lastColumn="0" w:lastRow="0" w:noHBand="0" w:noVBand="1" w:val="04A0"/>
        <w:tblInd w:w="120" w:type="dxa"/>
      </w:tblPr>
      <w:tblGrid>
        <w:gridCol w:w="10080"/>
      </w:tblGrid>
      <w:tr>
        <w:tc>
          <w:tcPr>
            <w:tcW w:type="dxa" w:w="10080"/>
            <w:tcMar>
              <w:top w:w="130" w:type="dxa"/>
              <w:start w:w="150" w:type="dxa"/>
              <w:bottom w:w="130" w:type="dxa"/>
              <w:end w:w="150" w:type="dxa"/>
            </w:tcMar>
          </w:tcPr>
          <w:p>
            <w:pPr>
              <w:spacing w:after="0"/>
            </w:pPr>
            <w:r>
              <w:rPr>
                <w:rFonts w:ascii="Aptos" w:hAnsi="Aptos"/>
                <w:b w:val="0"/>
                <w:i/>
                <w:color w:val="666A70"/>
                <w:sz w:val="19"/>
              </w:rPr>
              <w:t>Describe PHI categories, systems, data flows, permitted uses, minimum-necessary rules, approved subcontractors, retention, contacts, and any management/administration or data-aggregation permission.</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pStyle w:val="Heading1"/>
      </w:pPr>
      <w:r>
        <w:t>Signatures</w:t>
      </w:r>
    </w:p>
    <w:p>
      <w:pPr>
        <w:pStyle w:val="Heading2"/>
      </w:pPr>
      <w:r>
        <w:t>Covered Entity</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Legal Name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Authorized Signer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Title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Signature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Business Associate</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Legal Name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Authorized Signer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Title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Signature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sectPr w:rsidR="00FC693F" w:rsidRPr="0006063C" w:rsidSect="00034616">
      <w:headerReference w:type="default" r:id="rId9"/>
      <w:footerReference w:type="default" r:id="rId10"/>
      <w:pgSz w:w="12240" w:h="15840"/>
      <w:pgMar w:top="1080" w:right="1080" w:bottom="1080" w:left="108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66A70"/>
        <w:sz w:val="16"/>
      </w:rPr>
      <w:t>The Cutting Firm | A Riot Assets Company  •  Replace the logo area with your own company logo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666A70"/>
        <w:sz w:val="16"/>
      </w:rPr>
      <w:t>THE CUTTING FIRM  |  BUSINESS DOCUMENT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ptos" w:hAnsi="Aptos"/>
      <w:color w:val="1B1D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w:hAnsi="Aptos"/>
      <w:b/>
      <w:bCs/>
      <w:color w:val="477E7C"/>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w:hAnsi="Aptos"/>
      <w:b/>
      <w:bCs/>
      <w:color w:val="477E7C"/>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ptos" w:hAnsi="Aptos"/>
      <w:b/>
      <w:color w:val="1B1D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