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080"/>
        <w:jc w:val="left"/>
        <w:tblLayout w:type="fixed"/>
        <w:tblLook w:firstColumn="1" w:firstRow="1" w:lastColumn="0" w:lastRow="0" w:noHBand="0" w:noVBand="1" w:val="04A0"/>
        <w:tblInd w:w="120" w:type="dxa"/>
      </w:tblPr>
      <w:tblGrid>
        <w:gridCol w:w="6983"/>
        <w:gridCol w:w="3096"/>
      </w:tblGrid>
      <w:tr>
        <w:tc>
          <w:tcPr>
            <w:tcW w:type="dxa" w:w="6983"/>
            <w:shd w:fill="1B1D20"/>
            <w:tcMar>
              <w:top w:w="180" w:type="dxa"/>
              <w:start w:w="180" w:type="dxa"/>
              <w:bottom w:w="180" w:type="dxa"/>
              <w:end w:w="180" w:type="dxa"/>
            </w:tcMar>
            <w:vAlign w:val="center"/>
          </w:tcPr>
          <w:p>
            <w:pPr>
              <w:spacing w:after="40"/>
            </w:pPr>
            <w:r>
              <w:rPr>
                <w:rFonts w:ascii="Aptos" w:hAnsi="Aptos"/>
                <w:b/>
                <w:i w:val="0"/>
                <w:color w:val="FFFFFF"/>
                <w:sz w:val="46"/>
              </w:rPr>
              <w:t>CONFIDENTIALITY &amp; NON-DISCLOSURE AGREEMENT</w:t>
            </w:r>
          </w:p>
          <w:p>
            <w:pPr>
              <w:spacing w:after="0"/>
            </w:pPr>
            <w:r>
              <w:rPr>
                <w:rFonts w:ascii="Aptos" w:hAnsi="Aptos"/>
                <w:b w:val="0"/>
                <w:i w:val="0"/>
                <w:color w:val="D8D8D8"/>
                <w:sz w:val="19"/>
              </w:rPr>
              <w:t>Professional, editable business template</w:t>
            </w:r>
          </w:p>
        </w:tc>
        <w:tc>
          <w:tcPr>
            <w:tcW w:type="dxa" w:w="3096"/>
            <w:shd w:fill="F4F3EF"/>
            <w:tcMar>
              <w:top w:w="180" w:type="dxa"/>
              <w:start w:w="180" w:type="dxa"/>
              <w:bottom w:w="180" w:type="dxa"/>
              <w:end w:w="180" w:type="dxa"/>
            </w:tcMar>
            <w:vAlign w:val="center"/>
          </w:tcPr>
          <w:p>
            <w:pPr>
              <w:jc w:val="center"/>
            </w:pPr>
            <w:r>
              <w:rPr>
                <w:rFonts w:ascii="Aptos" w:hAnsi="Aptos"/>
                <w:b/>
                <w:i w:val="0"/>
                <w:color w:val="C9872B"/>
                <w:sz w:val="26"/>
              </w:rPr>
              <w:t>YOUR LOGO</w:t>
              <w:br/>
              <w:t>HERE</w:t>
            </w:r>
          </w:p>
          <w:p>
            <w:pPr>
              <w:spacing w:after="0"/>
              <w:jc w:val="center"/>
            </w:pPr>
            <w:r>
              <w:rPr>
                <w:rFonts w:ascii="Aptos" w:hAnsi="Aptos"/>
                <w:b w:val="0"/>
                <w:i/>
                <w:color w:val="666A70"/>
                <w:sz w:val="16"/>
              </w:rPr>
              <w:t>Replace this box</w:t>
            </w:r>
          </w:p>
        </w:tc>
      </w:tr>
    </w:tbl>
    <w:p>
      <w:pPr>
        <w:spacing w:after="0"/>
      </w:pPr>
    </w:p>
    <w:tbl>
      <w:tblPr>
        <w:tblW w:type="dxa" w:w="10080"/>
        <w:jc w:val="left"/>
        <w:tblLayout w:type="fixed"/>
        <w:tblLook w:firstColumn="1" w:firstRow="1" w:lastColumn="0" w:lastRow="0" w:noHBand="0" w:noVBand="1" w:val="04A0"/>
        <w:tblInd w:w="120" w:type="dxa"/>
      </w:tblPr>
      <w:tblGrid>
        <w:gridCol w:w="10080"/>
      </w:tblGrid>
      <w:tr>
        <w:tc>
          <w:tcPr>
            <w:tcW w:type="dxa" w:w="10080"/>
            <w:shd w:fill="F4F3EF"/>
            <w:tcMar>
              <w:top w:w="120" w:type="dxa"/>
              <w:start w:w="150" w:type="dxa"/>
              <w:bottom w:w="120" w:type="dxa"/>
              <w:end w:w="150" w:type="dxa"/>
            </w:tcMar>
          </w:tcPr>
          <w:p>
            <w:pPr>
              <w:spacing w:after="0"/>
            </w:pPr>
            <w:r>
              <w:rPr>
                <w:rFonts w:ascii="Aptos" w:hAnsi="Aptos"/>
                <w:b w:val="0"/>
                <w:i/>
                <w:color w:val="666A70"/>
                <w:sz w:val="19"/>
              </w:rPr>
              <w:t>IMPORTANT: This is a general educational starting-point template, not legal advice. Laws, roles, licensing duties, and required terms vary. Have a licensed attorney review and adapt this agreement before anyone signs it or relies on it.</w:t>
            </w:r>
          </w:p>
        </w:tc>
      </w:tr>
    </w:tbl>
    <w:p>
      <w:pPr>
        <w:pStyle w:val="Heading1"/>
      </w:pPr>
      <w:r>
        <w:t>Agreement Details</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Effective 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Agreement Type</w:t>
            </w:r>
          </w:p>
        </w:tc>
        <w:tc>
          <w:tcPr>
            <w:tcW w:type="dxa" w:w="7632"/>
            <w:tcMar>
              <w:top w:w="110" w:type="dxa"/>
              <w:start w:w="130" w:type="dxa"/>
              <w:bottom w:w="110" w:type="dxa"/>
              <w:end w:w="130" w:type="dxa"/>
            </w:tcMar>
            <w:vAlign w:val="center"/>
          </w:tcPr>
          <w:p>
            <w:pPr>
              <w:spacing w:after="0"/>
            </w:pPr>
            <w:r>
              <w:rPr>
                <w:rFonts w:ascii="Aptos" w:hAnsi="Aptos"/>
                <w:b w:val="0"/>
                <w:i w:val="0"/>
                <w:color w:val="666A70"/>
                <w:sz w:val="19"/>
              </w:rPr>
              <w:t>Mutual / One-Way</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Disclosing Party</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Receiving Party</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Purpose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1. Purpose</w:t>
      </w:r>
    </w:p>
    <w:p>
      <w:r>
        <w:t>The parties expect to discuss or pursue the Purpose identified above. In connection with that Purpose, a party may disclose Confidential Information to the other party.</w:t>
      </w:r>
    </w:p>
    <w:p>
      <w:pPr>
        <w:pStyle w:val="Heading2"/>
      </w:pPr>
      <w:r>
        <w:t>2. Confidential Information</w:t>
      </w:r>
    </w:p>
    <w:p>
      <w:r>
        <w:t>Confidential Information means nonpublic business, financial, technical, operational, customer, vendor, personnel, product, pricing, security, and other information disclosed in any form that is marked confidential or that a reasonable person would understand to be confidential given its nature and the circumstances of disclosure.</w:t>
      </w:r>
    </w:p>
    <w:p>
      <w:pPr>
        <w:pStyle w:val="Heading2"/>
      </w:pPr>
      <w:r>
        <w:t>3. Exclusions</w:t>
      </w:r>
    </w:p>
    <w:p>
      <w:r>
        <w:t>Confidential Information does not include information the receiving party can document: (a) was lawfully known without restriction before disclosure; (b) becomes public through no breach of this Agreement; (c) is received lawfully from a third party without a confidentiality duty; or (d) is independently developed without use of the disclosing party's Confidential Information.</w:t>
      </w:r>
    </w:p>
    <w:p>
      <w:r>
        <w:br w:type="page"/>
      </w:r>
    </w:p>
    <w:p>
      <w:pPr>
        <w:pStyle w:val="Heading2"/>
      </w:pPr>
      <w:r>
        <w:t>4. Protection and Limited Use</w:t>
      </w:r>
    </w:p>
    <w:p>
      <w:r>
        <w:t>The receiving party will use Confidential Information only for the Purpose, protect it with at least reasonable care, and disclose it only to representatives who need to know it and are bound by confidentiality duties at least as protective as these terms. The receiving party is responsible for its representatives' compliance.</w:t>
      </w:r>
    </w:p>
    <w:p>
      <w:pPr>
        <w:pStyle w:val="Heading2"/>
      </w:pPr>
      <w:r>
        <w:t>5. Required Disclosure</w:t>
      </w:r>
    </w:p>
    <w:p>
      <w:r>
        <w:t>If law, regulation, subpoena, or court order requires disclosure, the receiving party may disclose only what is legally required and, when legally permitted, will give prompt written notice so the disclosing party may seek protection.</w:t>
      </w:r>
    </w:p>
    <w:p>
      <w:pPr>
        <w:pStyle w:val="Heading2"/>
      </w:pPr>
      <w:r>
        <w:t>6. Ownership; No License; No Warranty</w:t>
      </w:r>
    </w:p>
    <w:p>
      <w:r>
        <w:t>All Confidential Information remains the disclosing party's property. No intellectual-property license or ownership right is granted except the limited right to evaluate or perform the Purpose. Information is provided as-is unless another signed agreement states otherwise.</w:t>
      </w:r>
    </w:p>
    <w:p>
      <w:pPr>
        <w:pStyle w:val="Heading2"/>
      </w:pPr>
      <w:r>
        <w:t>7. Return or Destruction</w:t>
      </w:r>
    </w:p>
    <w:p>
      <w:r>
        <w:t>Upon written request or when discussions end, the receiving party will promptly return or destroy Confidential Information, except copies retained by automatic backup or law, which remain protected until deleted in the ordinary course.</w:t>
      </w:r>
    </w:p>
    <w:p>
      <w:pPr>
        <w:pStyle w:val="Heading2"/>
      </w:pPr>
      <w:r>
        <w:t>8. Term and Survival</w:t>
      </w:r>
    </w:p>
    <w:p>
      <w:r>
        <w:t>This Agreement begins on the Effective Date and continues for the period stated below. Confidentiality and limited-use duties survive for the stated survival period. Trade secrets remain protected for as long as they qualify for protection under applicable law.</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Agreement Term</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Confidentiality Survival</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Trade Secret Treatment</w:t>
            </w:r>
          </w:p>
        </w:tc>
        <w:tc>
          <w:tcPr>
            <w:tcW w:type="dxa" w:w="7632"/>
            <w:tcMar>
              <w:top w:w="110" w:type="dxa"/>
              <w:start w:w="130" w:type="dxa"/>
              <w:bottom w:w="110" w:type="dxa"/>
              <w:end w:w="130" w:type="dxa"/>
            </w:tcMar>
            <w:vAlign w:val="center"/>
          </w:tcPr>
          <w:p>
            <w:pPr>
              <w:spacing w:after="0"/>
            </w:pPr>
            <w:r>
              <w:rPr>
                <w:rFonts w:ascii="Aptos" w:hAnsi="Aptos"/>
                <w:b w:val="0"/>
                <w:i w:val="0"/>
                <w:color w:val="666A70"/>
                <w:sz w:val="19"/>
              </w:rPr>
              <w:t>As long as protected by applicable law</w:t>
            </w:r>
          </w:p>
        </w:tc>
      </w:tr>
    </w:tbl>
    <w:p>
      <w:r>
        <w:br w:type="page"/>
      </w:r>
    </w:p>
    <w:p>
      <w:pPr>
        <w:pStyle w:val="Heading2"/>
      </w:pPr>
      <w:r>
        <w:t>9. No Obligation to Proceed</w:t>
      </w:r>
    </w:p>
    <w:p>
      <w:r>
        <w:t>Neither party is required to disclose information, enter another transaction, or continue discussions.</w:t>
      </w:r>
    </w:p>
    <w:p>
      <w:pPr>
        <w:pStyle w:val="Heading2"/>
      </w:pPr>
      <w:r>
        <w:t>10. Remedies</w:t>
      </w:r>
    </w:p>
    <w:p>
      <w:r>
        <w:t>A breach may cause harm not fully compensable by money damages. Subject to applicable law, the injured party may seek appropriate equitable relief in addition to other available remedies. This clause does not waive defenses or require a court to grant relief.</w:t>
      </w:r>
    </w:p>
    <w:p>
      <w:pPr>
        <w:pStyle w:val="Heading2"/>
      </w:pPr>
      <w:r>
        <w:t>11. General Terms</w:t>
      </w:r>
    </w:p>
    <w:p>
      <w:r>
        <w:t>This Agreement contains the complete confidentiality understanding for the Purpose and may be amended only in a signed writing. Invalid terms will be limited or severed without affecting the rest. Delay in enforcement is not a waiver. Assignment requires written consent except in connection with a merger or sale of substantially all relevant assets. Electronic signatures and counterparts are permitted to the extent allowed by law.</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Governing Law</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Venue / Courts</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Notice Email - Party 1</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Notice Email - Party 2</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Schedule A - Covered Information or Special Terms</w:t>
      </w:r>
    </w:p>
    <w:tbl>
      <w:tblPr>
        <w:tblW w:type="dxa" w:w="10080"/>
        <w:jc w:val="left"/>
        <w:tblLayout w:type="fixed"/>
        <w:tblLook w:firstColumn="1" w:firstRow="1" w:lastColumn="0" w:lastRow="0" w:noHBand="0" w:noVBand="1" w:val="04A0"/>
        <w:tblInd w:w="120" w:type="dxa"/>
      </w:tblPr>
      <w:tblGrid>
        <w:gridCol w:w="10080"/>
      </w:tblGrid>
      <w:tr>
        <w:tc>
          <w:tcPr>
            <w:tcW w:type="dxa" w:w="10080"/>
            <w:tcMar>
              <w:top w:w="130" w:type="dxa"/>
              <w:start w:w="150" w:type="dxa"/>
              <w:bottom w:w="130" w:type="dxa"/>
              <w:end w:w="150" w:type="dxa"/>
            </w:tcMar>
          </w:tcPr>
          <w:p>
            <w:pPr>
              <w:spacing w:after="0"/>
            </w:pPr>
            <w:r>
              <w:rPr>
                <w:rFonts w:ascii="Aptos" w:hAnsi="Aptos"/>
                <w:b w:val="0"/>
                <w:i/>
                <w:color w:val="666A70"/>
                <w:sz w:val="19"/>
              </w:rPr>
              <w:t>Describe the project, information categories, permitted recipients, security rules, or special exclusions.</w:t>
            </w:r>
          </w:p>
          <w:p>
            <w:pPr>
              <w:spacing w:after="80"/>
            </w:pPr>
            <w:r>
              <w:t xml:space="preserve"> </w:t>
            </w:r>
          </w:p>
          <w:p>
            <w:pPr>
              <w:spacing w:after="80"/>
            </w:pPr>
            <w:r>
              <w:t xml:space="preserve"> </w:t>
            </w:r>
          </w:p>
          <w:p>
            <w:pPr>
              <w:spacing w:after="80"/>
            </w:pPr>
            <w:r>
              <w:t xml:space="preserve"> </w:t>
            </w:r>
          </w:p>
          <w:p>
            <w:pPr>
              <w:spacing w:after="80"/>
            </w:pPr>
            <w:r>
              <w:t xml:space="preserve"> </w:t>
            </w:r>
          </w:p>
          <w:p>
            <w:pPr>
              <w:spacing w:after="80"/>
            </w:pPr>
            <w:r>
              <w:t xml:space="preserve"> </w:t>
            </w:r>
          </w:p>
        </w:tc>
      </w:tr>
    </w:tbl>
    <w:p>
      <w:pPr>
        <w:pStyle w:val="Heading1"/>
      </w:pPr>
      <w:r>
        <w:t>Signatures</w:t>
      </w:r>
    </w:p>
    <w:p>
      <w:pPr>
        <w:pStyle w:val="Heading2"/>
      </w:pPr>
      <w:r>
        <w:t>Party 1</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Legal Name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Authorized Signer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Title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Signature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p>
      <w:pPr>
        <w:pStyle w:val="Heading2"/>
      </w:pPr>
      <w:r>
        <w:t>Party 2</w:t>
      </w:r>
    </w:p>
    <w:tbl>
      <w:tblPr>
        <w:tblW w:type="dxa" w:w="10080"/>
        <w:jc w:val="left"/>
        <w:tblLayout w:type="fixed"/>
        <w:tblLook w:firstColumn="1" w:firstRow="1" w:lastColumn="0" w:lastRow="0" w:noHBand="0" w:noVBand="1" w:val="04A0"/>
        <w:tblInd w:w="120" w:type="dxa"/>
      </w:tblPr>
      <w:tblGrid>
        <w:gridCol w:w="2448"/>
        <w:gridCol w:w="7632"/>
      </w:tblGrid>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Legal Name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Authorized Signer</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Title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Signature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r>
        <w:tc>
          <w:tcPr>
            <w:tcW w:type="dxa" w:w="2448"/>
            <w:shd w:fill="F4F3EF"/>
            <w:tcMar>
              <w:top w:w="110" w:type="dxa"/>
              <w:start w:w="130" w:type="dxa"/>
              <w:bottom w:w="110" w:type="dxa"/>
              <w:end w:w="130" w:type="dxa"/>
            </w:tcMar>
            <w:vAlign w:val="center"/>
          </w:tcPr>
          <w:p>
            <w:pPr>
              <w:spacing w:after="0"/>
            </w:pPr>
            <w:r>
              <w:rPr>
                <w:rFonts w:ascii="Aptos" w:hAnsi="Aptos"/>
                <w:b/>
                <w:i w:val="0"/>
                <w:color w:val="1B1D20"/>
                <w:sz w:val="19"/>
              </w:rPr>
              <w:t>Date</w:t>
            </w:r>
          </w:p>
        </w:tc>
        <w:tc>
          <w:tcPr>
            <w:tcW w:type="dxa" w:w="7632"/>
            <w:tcMar>
              <w:top w:w="110" w:type="dxa"/>
              <w:start w:w="130" w:type="dxa"/>
              <w:bottom w:w="110" w:type="dxa"/>
              <w:end w:w="130" w:type="dxa"/>
            </w:tcMar>
            <w:vAlign w:val="center"/>
          </w:tcPr>
          <w:p>
            <w:pPr>
              <w:spacing w:after="0"/>
            </w:pPr>
            <w:r>
              <w:rPr>
                <w:rFonts w:ascii="Aptos" w:hAnsi="Aptos"/>
                <w:b w:val="0"/>
                <w:i/>
                <w:color w:val="666A70"/>
                <w:sz w:val="19"/>
              </w:rPr>
              <w:t>Click or type here</w:t>
            </w:r>
          </w:p>
        </w:tc>
      </w:tr>
    </w:tbl>
    <w:sectPr w:rsidR="00FC693F" w:rsidRPr="0006063C" w:rsidSect="00034616">
      <w:headerReference w:type="default" r:id="rId9"/>
      <w:footerReference w:type="default" r:id="rId10"/>
      <w:pgSz w:w="12240" w:h="15840"/>
      <w:pgMar w:top="1080" w:right="1080" w:bottom="1080" w:left="108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66A70"/>
        <w:sz w:val="16"/>
      </w:rPr>
      <w:t>The Cutting Firm | A Riot Assets Company  •  Replace the logo area with your own company logo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666A70"/>
        <w:sz w:val="16"/>
      </w:rPr>
      <w:t>THE CUTTING FIRM  |  BUSINESS DOCUMENT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ptos" w:hAnsi="Aptos"/>
      <w:color w:val="1B1D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w:hAnsi="Aptos"/>
      <w:b/>
      <w:bCs/>
      <w:color w:val="477E7C"/>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w:hAnsi="Aptos"/>
      <w:b/>
      <w:bCs/>
      <w:color w:val="477E7C"/>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ptos" w:hAnsi="Aptos"/>
      <w:b/>
      <w:color w:val="1B1D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