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080"/>
        <w:jc w:val="left"/>
        <w:tblLayout w:type="fixed"/>
        <w:tblLook w:firstColumn="1" w:firstRow="1" w:lastColumn="0" w:lastRow="0" w:noHBand="0" w:noVBand="1" w:val="04A0"/>
        <w:tblInd w:w="120" w:type="dxa"/>
      </w:tblPr>
      <w:tblGrid>
        <w:gridCol w:w="6983"/>
        <w:gridCol w:w="3096"/>
      </w:tblGrid>
      <w:tr>
        <w:tc>
          <w:tcPr>
            <w:tcW w:type="dxa" w:w="6983"/>
            <w:shd w:fill="1B1D20"/>
            <w:tcMar>
              <w:top w:w="180" w:type="dxa"/>
              <w:start w:w="180" w:type="dxa"/>
              <w:bottom w:w="180" w:type="dxa"/>
              <w:end w:w="180" w:type="dxa"/>
            </w:tcMar>
            <w:vAlign w:val="center"/>
          </w:tcPr>
          <w:p>
            <w:pPr>
              <w:spacing w:after="40"/>
            </w:pPr>
            <w:r>
              <w:rPr>
                <w:rFonts w:ascii="Aptos" w:hAnsi="Aptos"/>
                <w:b/>
                <w:i w:val="0"/>
                <w:color w:val="FFFFFF"/>
                <w:sz w:val="46"/>
              </w:rPr>
              <w:t>THIRD-PARTY ADMINISTRATOR AGREEMENT</w:t>
            </w:r>
          </w:p>
          <w:p>
            <w:pPr>
              <w:spacing w:after="0"/>
            </w:pPr>
            <w:r>
              <w:rPr>
                <w:rFonts w:ascii="Aptos" w:hAnsi="Aptos"/>
                <w:b w:val="0"/>
                <w:i w:val="0"/>
                <w:color w:val="D8D8D8"/>
                <w:sz w:val="19"/>
              </w:rPr>
              <w:t>Professional, editable business template</w:t>
            </w:r>
          </w:p>
        </w:tc>
        <w:tc>
          <w:tcPr>
            <w:tcW w:type="dxa" w:w="3096"/>
            <w:shd w:fill="F4F3EF"/>
            <w:tcMar>
              <w:top w:w="180" w:type="dxa"/>
              <w:start w:w="180" w:type="dxa"/>
              <w:bottom w:w="180" w:type="dxa"/>
              <w:end w:w="180" w:type="dxa"/>
            </w:tcMar>
            <w:vAlign w:val="center"/>
          </w:tcPr>
          <w:p>
            <w:pPr>
              <w:jc w:val="center"/>
            </w:pPr>
            <w:r>
              <w:rPr>
                <w:rFonts w:ascii="Aptos" w:hAnsi="Aptos"/>
                <w:b/>
                <w:i w:val="0"/>
                <w:color w:val="C9872B"/>
                <w:sz w:val="26"/>
              </w:rPr>
              <w:t>YOUR LOGO</w:t>
              <w:br/>
              <w:t>HERE</w:t>
            </w:r>
          </w:p>
          <w:p>
            <w:pPr>
              <w:spacing w:after="0"/>
              <w:jc w:val="center"/>
            </w:pPr>
            <w:r>
              <w:rPr>
                <w:rFonts w:ascii="Aptos" w:hAnsi="Aptos"/>
                <w:b w:val="0"/>
                <w:i/>
                <w:color w:val="666A70"/>
                <w:sz w:val="16"/>
              </w:rPr>
              <w:t>Replace this box</w:t>
            </w:r>
          </w:p>
        </w:tc>
      </w:tr>
    </w:tbl>
    <w:p>
      <w:pPr>
        <w:spacing w:after="0"/>
      </w:pPr>
    </w:p>
    <w:tbl>
      <w:tblPr>
        <w:tblW w:type="dxa" w:w="10080"/>
        <w:jc w:val="left"/>
        <w:tblLayout w:type="fixed"/>
        <w:tblLook w:firstColumn="1" w:firstRow="1" w:lastColumn="0" w:lastRow="0" w:noHBand="0" w:noVBand="1" w:val="04A0"/>
        <w:tblInd w:w="120" w:type="dxa"/>
      </w:tblPr>
      <w:tblGrid>
        <w:gridCol w:w="10080"/>
      </w:tblGrid>
      <w:tr>
        <w:tc>
          <w:tcPr>
            <w:tcW w:type="dxa" w:w="10080"/>
            <w:shd w:fill="F4F3EF"/>
            <w:tcMar>
              <w:top w:w="120" w:type="dxa"/>
              <w:start w:w="150" w:type="dxa"/>
              <w:bottom w:w="120" w:type="dxa"/>
              <w:end w:w="150" w:type="dxa"/>
            </w:tcMar>
          </w:tcPr>
          <w:p>
            <w:pPr>
              <w:spacing w:after="0"/>
            </w:pPr>
            <w:r>
              <w:rPr>
                <w:rFonts w:ascii="Aptos" w:hAnsi="Aptos"/>
                <w:b w:val="0"/>
                <w:i/>
                <w:color w:val="666A70"/>
                <w:sz w:val="19"/>
              </w:rPr>
              <w:t>IMPORTANT: This is a general educational starting-point template, not legal advice. Laws, roles, licensing duties, and required terms vary. Have a licensed attorney review and adapt this agreement before anyone signs it or relies on it. This form is intentionally general and must be checked for industry-specific and state licensing requirements.</w:t>
            </w:r>
          </w:p>
        </w:tc>
      </w:tr>
    </w:tbl>
    <w:p>
      <w:pPr>
        <w:pStyle w:val="Heading1"/>
      </w:pPr>
      <w:r>
        <w:t>Agreement Details</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Effective Date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Client / Plan Sponsor</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Administrator</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Program / Plan</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Jurisdiction(s)</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Underlying Plan / Policy Documents</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1. Appointment and Scope</w:t>
      </w:r>
    </w:p>
    <w:p>
      <w:r>
        <w:t>Client appoints Administrator to perform only the administrative services listed in Schedule A. Administrator accepts the appointment subject to this Agreement. No authority is granted by implication.</w:t>
      </w:r>
    </w:p>
    <w:p>
      <w:pPr>
        <w:pStyle w:val="Heading2"/>
      </w:pPr>
      <w:r>
        <w:t>2. Authority Limits</w:t>
      </w:r>
    </w:p>
    <w:p>
      <w:r>
        <w:t>Administrator may act only within written authority supplied by Client. Unless Schedule A expressly says otherwise, Administrator may not amend plan terms, bind coverage, set policy, make discretionary fiduciary decisions, settle litigation, admit liability, borrow funds, or sign contracts for Client.</w:t>
      </w:r>
    </w:p>
    <w:p>
      <w:pPr>
        <w:pStyle w:val="Heading2"/>
      </w:pPr>
      <w:r>
        <w:t>3. Client Responsibilities</w:t>
      </w:r>
    </w:p>
    <w:p>
      <w:r>
        <w:t>Client will provide accurate plan documents, eligibility and funding information, instructions, approvals, access, and timely funds. Client retains responsibility for plan design, final discretionary decisions, legal and tax compliance, and acts outside Administrator's delegated scope.</w:t>
      </w:r>
    </w:p>
    <w:p>
      <w:r>
        <w:br w:type="page"/>
      </w:r>
    </w:p>
    <w:p>
      <w:pPr>
        <w:pStyle w:val="Heading2"/>
      </w:pPr>
      <w:r>
        <w:t>4. Administrator Responsibilities</w:t>
      </w:r>
    </w:p>
    <w:p>
      <w:r>
        <w:t>Administrator will perform delegated services in a professional and timely manner, follow written plan terms and lawful instructions, maintain qualified personnel, and promptly identify conflicts, material errors, complaints, and issues requiring Client action.</w:t>
      </w:r>
    </w:p>
    <w:p>
      <w:pPr>
        <w:pStyle w:val="Heading2"/>
      </w:pPr>
      <w:r>
        <w:t>5. Compliance, Licensing, and Fiduciary Status</w:t>
      </w:r>
    </w:p>
    <w:p>
      <w:r>
        <w:t>Each party will comply with laws applicable to its duties. Administrator will maintain required registrations, licenses, bonds, and permits. Administrator is not a fiduciary or discretionary decision-maker unless Schedule A expressly assigns that role and applicable law permits it.</w:t>
      </w:r>
    </w:p>
    <w:p>
      <w:pPr>
        <w:pStyle w:val="Heading2"/>
      </w:pPr>
      <w:r>
        <w:t>6. Records, Reporting, and Audit</w:t>
      </w:r>
    </w:p>
    <w:p>
      <w:r>
        <w:t>Administrator will keep complete, accurate records for the required retention period, provide the reports in Schedule C, and permit reasonable audits subject to confidentiality and security controls. Ownership and post-termination delivery of records are stated below.</w:t>
      </w:r>
    </w:p>
    <w:p>
      <w:pPr>
        <w:pStyle w:val="Heading2"/>
      </w:pPr>
      <w:r>
        <w:t>7. Funds and Banking</w:t>
      </w:r>
    </w:p>
    <w:p>
      <w:r>
        <w:t>If Administrator receives or disburses Client or plan funds, Schedule A must identify accounts, signers, reconciliation, remittance timing, permitted deductions, bonding, and controls. Funds will not be commingled except as expressly permitted by law and the written schedule.</w:t>
      </w:r>
    </w:p>
    <w:p>
      <w:pPr>
        <w:pStyle w:val="Heading2"/>
      </w:pPr>
      <w:r>
        <w:t>8. Fees and Expenses</w:t>
      </w:r>
    </w:p>
    <w:p>
      <w:r>
        <w:t>Client will pay the fees and approved expenses in Schedule B. Administrator may not change fees or deduct amounts from Client or plan funds except as expressly authorized in writing.</w:t>
      </w:r>
    </w:p>
    <w:p>
      <w:r>
        <w:br w:type="page"/>
      </w:r>
    </w:p>
    <w:p>
      <w:pPr>
        <w:pStyle w:val="Heading2"/>
      </w:pPr>
      <w:r>
        <w:t>9. Privacy, Security, and Incidents</w:t>
      </w:r>
    </w:p>
    <w:p>
      <w:r>
        <w:t>Each party will protect personal and confidential information using reasonable administrative, technical, and physical safeguards. Administrator will promptly report suspected or confirmed unauthorized access, use, disclosure, loss, or destruction and cooperate with investigation, mitigation, and legally required notices. If HIPAA applies, the parties will execute an appropriate Business Associate Agreement.</w:t>
      </w:r>
    </w:p>
    <w:p>
      <w:pPr>
        <w:pStyle w:val="Heading2"/>
      </w:pPr>
      <w:r>
        <w:t>10. Subcontractors</w:t>
      </w:r>
    </w:p>
    <w:p>
      <w:r>
        <w:t>Administrator may use subcontractors only as permitted in Schedule A and remains responsible for delegated work. Subcontractors receiving protected information must be bound by written privacy, security, confidentiality, recordkeeping, and compliance duties appropriate to the data and services.</w:t>
      </w:r>
    </w:p>
    <w:p>
      <w:pPr>
        <w:pStyle w:val="Heading2"/>
      </w:pPr>
      <w:r>
        <w:t>11. Insurance and Business Continuity</w:t>
      </w:r>
    </w:p>
    <w:p>
      <w:r>
        <w:t>Administrator will maintain the insurance, bonds, disaster recovery, backup, and continuity measures listed in Schedule C and provide evidence on reasonable request.</w:t>
      </w:r>
    </w:p>
    <w:p>
      <w:pPr>
        <w:pStyle w:val="Heading2"/>
      </w:pPr>
      <w:r>
        <w:t>12. Indemnification and Liability</w:t>
      </w:r>
    </w:p>
    <w:p>
      <w:r>
        <w:t>Each party will be responsible for losses to the extent caused by its breach, negligence, willful misconduct, or violation of law, subject to the negotiated indemnity and liability terms in Schedule D. Counsel should tailor this allocation and any limitation or exclusion of damages.</w:t>
      </w:r>
    </w:p>
    <w:p>
      <w:pPr>
        <w:pStyle w:val="Heading2"/>
      </w:pPr>
      <w:r>
        <w:t>13. Term, Termination, and Transition</w:t>
      </w:r>
    </w:p>
    <w:p>
      <w:r>
        <w:t>The Agreement continues for the term below. Either party may terminate as stated, including for uncured material breach or when law requires. On termination, Administrator will stop unauthorized activity, account for funds, return property and records, preserve required records, and provide the agreed transition assistance.</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Initial Term</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Renewal</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Termination Without Cause Notice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Cure Period</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Transition Period / Rate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r>
        <w:br w:type="page"/>
      </w:r>
    </w:p>
    <w:p>
      <w:pPr>
        <w:pStyle w:val="Heading2"/>
      </w:pPr>
      <w:r>
        <w:t>14. General Terms</w:t>
      </w:r>
    </w:p>
    <w:p>
      <w:r>
        <w:t>This Agreement and its schedules are the entire agreement on the services. Changes must be signed. Neither party may assign except as stated in a signed amendment. The parties are independent contractors. Invalid terms are limited or severed. Waiver must be written. Notices, dispute procedures, governing law, venue, electronic signatures, and counterparts are governed by the fields below.</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Notice Address / Email - Client</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Notice Address / Email - Administrator</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Governing Law</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Venue / Dispute Process</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Schedule A - Services, Authority, and Funds Controls</w:t>
      </w:r>
    </w:p>
    <w:tbl>
      <w:tblPr>
        <w:tblW w:type="dxa" w:w="10080"/>
        <w:jc w:val="left"/>
        <w:tblLayout w:type="fixed"/>
        <w:tblLook w:firstColumn="1" w:firstRow="1" w:lastColumn="0" w:lastRow="0" w:noHBand="0" w:noVBand="1" w:val="04A0"/>
        <w:tblInd w:w="120" w:type="dxa"/>
      </w:tblPr>
      <w:tblGrid>
        <w:gridCol w:w="10080"/>
      </w:tblGrid>
      <w:tr>
        <w:tc>
          <w:tcPr>
            <w:tcW w:type="dxa" w:w="10080"/>
            <w:tcMar>
              <w:top w:w="130" w:type="dxa"/>
              <w:start w:w="150" w:type="dxa"/>
              <w:bottom w:w="130" w:type="dxa"/>
              <w:end w:w="150" w:type="dxa"/>
            </w:tcMar>
          </w:tcPr>
          <w:p>
            <w:pPr>
              <w:spacing w:after="0"/>
            </w:pPr>
            <w:r>
              <w:rPr>
                <w:rFonts w:ascii="Aptos" w:hAnsi="Aptos"/>
                <w:b w:val="0"/>
                <w:i/>
                <w:color w:val="666A70"/>
                <w:sz w:val="19"/>
              </w:rPr>
              <w:t>List each service, performance owner, authority limit, approval threshold, account control, subcontractor permission, and excluded service.</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pStyle w:val="Heading2"/>
      </w:pPr>
      <w:r>
        <w:t>Schedule B - Fees and Expenses</w:t>
      </w:r>
    </w:p>
    <w:tbl>
      <w:tblPr>
        <w:tblW w:type="dxa" w:w="10080"/>
        <w:jc w:val="left"/>
        <w:tblLayout w:type="fixed"/>
        <w:tblLook w:firstColumn="1" w:firstRow="1" w:lastColumn="0" w:lastRow="0" w:noHBand="0" w:noVBand="1" w:val="04A0"/>
        <w:tblInd w:w="120" w:type="dxa"/>
      </w:tblPr>
      <w:tblGrid>
        <w:gridCol w:w="10080"/>
      </w:tblGrid>
      <w:tr>
        <w:tc>
          <w:tcPr>
            <w:tcW w:type="dxa" w:w="10080"/>
            <w:tcMar>
              <w:top w:w="130" w:type="dxa"/>
              <w:start w:w="150" w:type="dxa"/>
              <w:bottom w:w="130" w:type="dxa"/>
              <w:end w:w="150" w:type="dxa"/>
            </w:tcMar>
          </w:tcPr>
          <w:p>
            <w:pPr>
              <w:spacing w:after="0"/>
            </w:pPr>
            <w:r>
              <w:rPr>
                <w:rFonts w:ascii="Aptos" w:hAnsi="Aptos"/>
                <w:b w:val="0"/>
                <w:i/>
                <w:color w:val="666A70"/>
                <w:sz w:val="19"/>
              </w:rPr>
              <w:t>List setup, recurring, per-transaction, pass-through, late, transition, and termination fees plus invoicing and payment terms.</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pStyle w:val="Heading2"/>
      </w:pPr>
      <w:r>
        <w:t>Schedule C - Service Levels, Reports, Insurance, and Continuity</w:t>
      </w:r>
    </w:p>
    <w:tbl>
      <w:tblPr>
        <w:tblW w:type="dxa" w:w="10080"/>
        <w:jc w:val="left"/>
        <w:tblLayout w:type="fixed"/>
        <w:tblLook w:firstColumn="1" w:firstRow="1" w:lastColumn="0" w:lastRow="0" w:noHBand="0" w:noVBand="1" w:val="04A0"/>
        <w:tblInd w:w="120" w:type="dxa"/>
      </w:tblPr>
      <w:tblGrid>
        <w:gridCol w:w="10080"/>
      </w:tblGrid>
      <w:tr>
        <w:tc>
          <w:tcPr>
            <w:tcW w:type="dxa" w:w="10080"/>
            <w:tcMar>
              <w:top w:w="130" w:type="dxa"/>
              <w:start w:w="150" w:type="dxa"/>
              <w:bottom w:w="130" w:type="dxa"/>
              <w:end w:w="150" w:type="dxa"/>
            </w:tcMar>
          </w:tcPr>
          <w:p>
            <w:pPr>
              <w:spacing w:after="0"/>
            </w:pPr>
            <w:r>
              <w:rPr>
                <w:rFonts w:ascii="Aptos" w:hAnsi="Aptos"/>
                <w:b w:val="0"/>
                <w:i/>
                <w:color w:val="666A70"/>
                <w:sz w:val="19"/>
              </w:rPr>
              <w:t>List metrics, due dates, escalation points, reporting, insurance/bond limits, recovery objectives, and testing cadence.</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pStyle w:val="Heading2"/>
      </w:pPr>
      <w:r>
        <w:t>Schedule D - Negotiated Risk Allocation</w:t>
      </w:r>
    </w:p>
    <w:tbl>
      <w:tblPr>
        <w:tblW w:type="dxa" w:w="10080"/>
        <w:jc w:val="left"/>
        <w:tblLayout w:type="fixed"/>
        <w:tblLook w:firstColumn="1" w:firstRow="1" w:lastColumn="0" w:lastRow="0" w:noHBand="0" w:noVBand="1" w:val="04A0"/>
        <w:tblInd w:w="120" w:type="dxa"/>
      </w:tblPr>
      <w:tblGrid>
        <w:gridCol w:w="10080"/>
      </w:tblGrid>
      <w:tr>
        <w:tc>
          <w:tcPr>
            <w:tcW w:type="dxa" w:w="10080"/>
            <w:tcMar>
              <w:top w:w="130" w:type="dxa"/>
              <w:start w:w="150" w:type="dxa"/>
              <w:bottom w:w="130" w:type="dxa"/>
              <w:end w:w="150" w:type="dxa"/>
            </w:tcMar>
          </w:tcPr>
          <w:p>
            <w:pPr>
              <w:spacing w:after="0"/>
            </w:pPr>
            <w:r>
              <w:rPr>
                <w:rFonts w:ascii="Aptos" w:hAnsi="Aptos"/>
                <w:b w:val="0"/>
                <w:i/>
                <w:color w:val="666A70"/>
                <w:sz w:val="19"/>
              </w:rPr>
              <w:t>Attorney-reviewed indemnity, defense, liability cap, exclusions, insurance interaction, and claim procedure.</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pStyle w:val="Heading1"/>
      </w:pPr>
      <w:r>
        <w:t>Signatures</w:t>
      </w:r>
    </w:p>
    <w:p>
      <w:pPr>
        <w:pStyle w:val="Heading2"/>
      </w:pPr>
      <w:r>
        <w:t>Client / Plan Sponsor</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Legal Name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Authorized Signer</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Title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Signature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Date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Third-Party Administrator</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Legal Name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Authorized Signer</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Title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Signature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Date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sectPr w:rsidR="00FC693F" w:rsidRPr="0006063C" w:rsidSect="00034616">
      <w:headerReference w:type="default" r:id="rId9"/>
      <w:footerReference w:type="default" r:id="rId10"/>
      <w:pgSz w:w="12240" w:h="15840"/>
      <w:pgMar w:top="1080" w:right="1080" w:bottom="1080" w:left="108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66A70"/>
        <w:sz w:val="16"/>
      </w:rPr>
      <w:t>The Cutting Firm | A Riot Assets Company  •  Replace the logo area with your own company logo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666A70"/>
        <w:sz w:val="16"/>
      </w:rPr>
      <w:t>THE CUTTING FIRM  |  BUSINESS DOCUMENT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ptos" w:hAnsi="Aptos"/>
      <w:color w:val="1B1D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w:hAnsi="Aptos"/>
      <w:b/>
      <w:bCs/>
      <w:color w:val="477E7C"/>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w:hAnsi="Aptos"/>
      <w:b/>
      <w:bCs/>
      <w:color w:val="477E7C"/>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ptos" w:hAnsi="Aptos"/>
      <w:b/>
      <w:color w:val="1B1D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